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E44D"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Verordnung zur Finanzierung der Ausbildungsvergütung in der Pflegehilfeausbildung</w:t>
      </w:r>
    </w:p>
    <w:p w14:paraId="53A82155" w14:textId="22712D69" w:rsidR="00447ABD" w:rsidRPr="00447ABD" w:rsidRDefault="00447ABD" w:rsidP="00C01D61">
      <w:pPr>
        <w:spacing w:line="360" w:lineRule="auto"/>
        <w:jc w:val="center"/>
        <w:rPr>
          <w:rFonts w:ascii="Arial" w:hAnsi="Arial" w:cs="Arial"/>
          <w:i/>
          <w:sz w:val="22"/>
          <w:szCs w:val="22"/>
        </w:rPr>
      </w:pPr>
      <w:r>
        <w:rPr>
          <w:rFonts w:ascii="Arial" w:hAnsi="Arial" w:cs="Arial"/>
          <w:i/>
          <w:sz w:val="22"/>
          <w:szCs w:val="22"/>
        </w:rPr>
        <w:t>Bearbeitungsstand: 2</w:t>
      </w:r>
      <w:r w:rsidR="00902F1D">
        <w:rPr>
          <w:rFonts w:ascii="Arial" w:hAnsi="Arial" w:cs="Arial"/>
          <w:i/>
          <w:sz w:val="22"/>
          <w:szCs w:val="22"/>
        </w:rPr>
        <w:t>6</w:t>
      </w:r>
      <w:r>
        <w:rPr>
          <w:rFonts w:ascii="Arial" w:hAnsi="Arial" w:cs="Arial"/>
          <w:i/>
          <w:sz w:val="22"/>
          <w:szCs w:val="22"/>
        </w:rPr>
        <w:t>.05.2023</w:t>
      </w:r>
    </w:p>
    <w:p w14:paraId="74139F07" w14:textId="77777777" w:rsidR="00C01D61" w:rsidRDefault="00C01D61" w:rsidP="00C01D61">
      <w:pPr>
        <w:spacing w:line="360" w:lineRule="auto"/>
        <w:jc w:val="center"/>
        <w:rPr>
          <w:rFonts w:ascii="Arial" w:hAnsi="Arial" w:cs="Arial"/>
          <w:b/>
          <w:sz w:val="22"/>
          <w:szCs w:val="22"/>
        </w:rPr>
      </w:pPr>
    </w:p>
    <w:p w14:paraId="2FC8D7FD" w14:textId="77777777" w:rsidR="00C01D61" w:rsidRDefault="00C01D61" w:rsidP="00C01D61">
      <w:pPr>
        <w:spacing w:line="360" w:lineRule="auto"/>
        <w:rPr>
          <w:rFonts w:ascii="Arial" w:hAnsi="Arial" w:cs="Arial"/>
          <w:sz w:val="22"/>
          <w:szCs w:val="22"/>
        </w:rPr>
      </w:pPr>
      <w:r>
        <w:rPr>
          <w:rFonts w:ascii="Arial" w:hAnsi="Arial" w:cs="Arial"/>
          <w:sz w:val="22"/>
          <w:szCs w:val="22"/>
        </w:rPr>
        <w:t>Aufgrund von § 3 des Gesetzes zur Finanzierung der Ausbildungsvergütung in der Pflegehilfe (Pflegeausbildungsvergütungsgesetz) vom XXX   wird verordnet:</w:t>
      </w:r>
    </w:p>
    <w:p w14:paraId="4712D5E8" w14:textId="77777777" w:rsidR="00C01D61" w:rsidRDefault="00C01D61" w:rsidP="00C01D61">
      <w:pPr>
        <w:spacing w:line="360" w:lineRule="auto"/>
        <w:rPr>
          <w:rFonts w:ascii="Arial" w:hAnsi="Arial" w:cs="Arial"/>
          <w:sz w:val="22"/>
          <w:szCs w:val="22"/>
        </w:rPr>
      </w:pPr>
    </w:p>
    <w:p w14:paraId="38A50CAF"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 1</w:t>
      </w:r>
    </w:p>
    <w:p w14:paraId="2EE46287"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Gegenstand</w:t>
      </w:r>
    </w:p>
    <w:p w14:paraId="0AA49D6D" w14:textId="1F0AA8DF" w:rsidR="00C01D61" w:rsidRDefault="00C01D61" w:rsidP="00C01D61">
      <w:pPr>
        <w:spacing w:line="360" w:lineRule="auto"/>
        <w:rPr>
          <w:rFonts w:ascii="Arial" w:hAnsi="Arial" w:cs="Arial"/>
          <w:bCs/>
          <w:sz w:val="22"/>
          <w:szCs w:val="22"/>
        </w:rPr>
      </w:pPr>
      <w:r>
        <w:rPr>
          <w:rFonts w:ascii="Arial" w:hAnsi="Arial" w:cs="Arial"/>
          <w:sz w:val="22"/>
          <w:szCs w:val="22"/>
        </w:rPr>
        <w:t>Die Förderung erfolgt gemäß § 2 Pflegeausbildungsvergütungsgesetzes</w:t>
      </w:r>
      <w:r>
        <w:rPr>
          <w:rFonts w:ascii="Arial" w:hAnsi="Arial" w:cs="Arial"/>
          <w:bCs/>
          <w:sz w:val="22"/>
          <w:szCs w:val="22"/>
        </w:rPr>
        <w:t>.</w:t>
      </w:r>
    </w:p>
    <w:p w14:paraId="76FD25F6" w14:textId="77777777" w:rsidR="00A91AC8" w:rsidRDefault="00A91AC8" w:rsidP="00C01D61">
      <w:pPr>
        <w:spacing w:line="360" w:lineRule="auto"/>
        <w:rPr>
          <w:rFonts w:ascii="Arial" w:hAnsi="Arial" w:cs="Arial"/>
          <w:sz w:val="22"/>
          <w:szCs w:val="22"/>
        </w:rPr>
      </w:pPr>
    </w:p>
    <w:p w14:paraId="683823E7"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 2</w:t>
      </w:r>
    </w:p>
    <w:p w14:paraId="4CC655CB"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Höhe der Förderung</w:t>
      </w:r>
    </w:p>
    <w:p w14:paraId="6FD636C4" w14:textId="77777777" w:rsidR="00C01D61" w:rsidRDefault="00C01D61" w:rsidP="00C01D61">
      <w:pPr>
        <w:spacing w:line="360" w:lineRule="auto"/>
        <w:rPr>
          <w:rFonts w:ascii="Arial" w:hAnsi="Arial" w:cs="Arial"/>
          <w:sz w:val="22"/>
          <w:szCs w:val="22"/>
        </w:rPr>
      </w:pPr>
      <w:r>
        <w:rPr>
          <w:rFonts w:ascii="Arial" w:hAnsi="Arial" w:cs="Arial"/>
          <w:sz w:val="22"/>
          <w:szCs w:val="22"/>
        </w:rPr>
        <w:t>(1) Die Förderung erfolgt durch Zahlung eines Zuschusses i. H. der vertraglich vereinbarten Ausbildungsvergütung einschließlich der Arbeitgeberanteile zur Sozialversicherung sowie d</w:t>
      </w:r>
      <w:r w:rsidR="006C720F">
        <w:rPr>
          <w:rFonts w:ascii="Arial" w:hAnsi="Arial" w:cs="Arial"/>
          <w:sz w:val="22"/>
          <w:szCs w:val="22"/>
        </w:rPr>
        <w:t>ie Beiträge zur Unfallversich</w:t>
      </w:r>
      <w:r w:rsidR="000203D7">
        <w:rPr>
          <w:rFonts w:ascii="Arial" w:hAnsi="Arial" w:cs="Arial"/>
          <w:sz w:val="22"/>
          <w:szCs w:val="22"/>
        </w:rPr>
        <w:t>er</w:t>
      </w:r>
      <w:r w:rsidR="006C720F">
        <w:rPr>
          <w:rFonts w:ascii="Arial" w:hAnsi="Arial" w:cs="Arial"/>
          <w:sz w:val="22"/>
          <w:szCs w:val="22"/>
        </w:rPr>
        <w:t>ung</w:t>
      </w:r>
      <w:r>
        <w:rPr>
          <w:rFonts w:ascii="Arial" w:hAnsi="Arial" w:cs="Arial"/>
          <w:sz w:val="22"/>
          <w:szCs w:val="22"/>
        </w:rPr>
        <w:t xml:space="preserve">. </w:t>
      </w:r>
    </w:p>
    <w:p w14:paraId="07FFFE3C" w14:textId="34694F24" w:rsidR="00C01D61" w:rsidRDefault="00C01D61" w:rsidP="00C01D61">
      <w:pPr>
        <w:spacing w:line="360" w:lineRule="auto"/>
        <w:rPr>
          <w:rFonts w:ascii="Arial" w:hAnsi="Arial" w:cs="Arial"/>
          <w:sz w:val="22"/>
          <w:szCs w:val="22"/>
        </w:rPr>
      </w:pPr>
      <w:r>
        <w:rPr>
          <w:rFonts w:ascii="Arial" w:hAnsi="Arial" w:cs="Arial"/>
          <w:sz w:val="22"/>
          <w:szCs w:val="22"/>
        </w:rPr>
        <w:t xml:space="preserve">(2) Ausbildungsmonate, für die eine Schülerin oder ein Schüler </w:t>
      </w:r>
      <w:r w:rsidR="00902F1D" w:rsidRPr="00902F1D">
        <w:rPr>
          <w:rFonts w:ascii="Arial" w:hAnsi="Arial" w:cs="Arial"/>
          <w:sz w:val="22"/>
          <w:szCs w:val="22"/>
        </w:rPr>
        <w:t>eine Ausbildungsvergütung von dritter Seite</w:t>
      </w:r>
      <w:r w:rsidR="00902F1D">
        <w:rPr>
          <w:rFonts w:ascii="Arial" w:hAnsi="Arial" w:cs="Arial"/>
          <w:sz w:val="22"/>
          <w:szCs w:val="22"/>
        </w:rPr>
        <w:t xml:space="preserve"> </w:t>
      </w:r>
      <w:r w:rsidR="00902F1D" w:rsidRPr="00902F1D">
        <w:rPr>
          <w:rFonts w:ascii="Arial" w:hAnsi="Arial" w:cs="Arial"/>
          <w:sz w:val="22"/>
          <w:szCs w:val="22"/>
        </w:rPr>
        <w:t xml:space="preserve">oder </w:t>
      </w:r>
      <w:r w:rsidR="00902F1D">
        <w:rPr>
          <w:rFonts w:ascii="Arial" w:hAnsi="Arial" w:cs="Arial"/>
          <w:sz w:val="22"/>
          <w:szCs w:val="22"/>
        </w:rPr>
        <w:t>eine</w:t>
      </w:r>
      <w:r w:rsidR="00902F1D" w:rsidRPr="00902F1D">
        <w:rPr>
          <w:rFonts w:ascii="Arial" w:hAnsi="Arial" w:cs="Arial"/>
          <w:sz w:val="22"/>
          <w:szCs w:val="22"/>
        </w:rPr>
        <w:t xml:space="preserve"> öffentliche</w:t>
      </w:r>
      <w:r w:rsidR="00902F1D">
        <w:rPr>
          <w:rFonts w:ascii="Arial" w:hAnsi="Arial" w:cs="Arial"/>
          <w:sz w:val="22"/>
          <w:szCs w:val="22"/>
        </w:rPr>
        <w:t xml:space="preserve"> Förderung erhält</w:t>
      </w:r>
      <w:r w:rsidR="00902F1D" w:rsidRPr="00902F1D">
        <w:rPr>
          <w:rFonts w:ascii="Arial" w:hAnsi="Arial" w:cs="Arial"/>
          <w:sz w:val="22"/>
          <w:szCs w:val="22"/>
        </w:rPr>
        <w:t>, die den Unterhalt der Schülerin oder des Schülers sichern</w:t>
      </w:r>
      <w:r>
        <w:rPr>
          <w:rFonts w:ascii="Arial" w:hAnsi="Arial" w:cs="Arial"/>
          <w:sz w:val="22"/>
          <w:szCs w:val="22"/>
        </w:rPr>
        <w:t>, bleiben bei der Förderung unberücksichtigt.</w:t>
      </w:r>
    </w:p>
    <w:p w14:paraId="02C8EF2F" w14:textId="77777777" w:rsidR="00C01D61" w:rsidRDefault="00C01D61" w:rsidP="00C01D61">
      <w:pPr>
        <w:spacing w:line="360" w:lineRule="auto"/>
        <w:jc w:val="center"/>
        <w:rPr>
          <w:rFonts w:ascii="Arial" w:hAnsi="Arial" w:cs="Arial"/>
          <w:b/>
          <w:sz w:val="22"/>
          <w:szCs w:val="22"/>
        </w:rPr>
      </w:pPr>
      <w:bookmarkStart w:id="0" w:name="_Hlk136002053"/>
      <w:r>
        <w:rPr>
          <w:rFonts w:ascii="Arial" w:hAnsi="Arial" w:cs="Arial"/>
          <w:b/>
          <w:sz w:val="22"/>
          <w:szCs w:val="22"/>
        </w:rPr>
        <w:t>§ 3</w:t>
      </w:r>
    </w:p>
    <w:p w14:paraId="718C9811" w14:textId="77777777" w:rsidR="00C01D61" w:rsidRDefault="00C01D61" w:rsidP="00C01D61">
      <w:pPr>
        <w:spacing w:line="360" w:lineRule="auto"/>
        <w:jc w:val="center"/>
        <w:rPr>
          <w:rFonts w:ascii="Arial" w:hAnsi="Arial" w:cs="Arial"/>
          <w:b/>
          <w:sz w:val="22"/>
          <w:szCs w:val="22"/>
        </w:rPr>
      </w:pPr>
      <w:r>
        <w:rPr>
          <w:rFonts w:ascii="Arial" w:hAnsi="Arial" w:cs="Arial"/>
          <w:b/>
          <w:sz w:val="22"/>
          <w:szCs w:val="22"/>
        </w:rPr>
        <w:t>Antragsverfahren und Abrechnungsverfahren</w:t>
      </w:r>
    </w:p>
    <w:p w14:paraId="39B2B4A5" w14:textId="5518A399" w:rsidR="00C01D61" w:rsidRDefault="00C01D61" w:rsidP="00C01D61">
      <w:pPr>
        <w:spacing w:line="360" w:lineRule="auto"/>
        <w:rPr>
          <w:rFonts w:ascii="Arial" w:hAnsi="Arial" w:cs="Arial"/>
          <w:sz w:val="22"/>
          <w:szCs w:val="22"/>
        </w:rPr>
      </w:pPr>
      <w:r>
        <w:rPr>
          <w:rFonts w:ascii="Arial" w:hAnsi="Arial" w:cs="Arial"/>
          <w:sz w:val="22"/>
          <w:szCs w:val="22"/>
        </w:rPr>
        <w:t>(1) Über den Antrag entscheidet die Investitionsbank Sachsen-Anhalt. Der Antrag ist unter Verwendung des Antragsmusters</w:t>
      </w:r>
      <w:r w:rsidR="006D060E">
        <w:rPr>
          <w:rFonts w:ascii="Arial" w:hAnsi="Arial" w:cs="Arial"/>
          <w:sz w:val="22"/>
          <w:szCs w:val="22"/>
        </w:rPr>
        <w:t xml:space="preserve"> und der Kopie des Ausbildungsvertrages</w:t>
      </w:r>
      <w:r w:rsidR="002C4DCC">
        <w:rPr>
          <w:rFonts w:ascii="Arial" w:hAnsi="Arial" w:cs="Arial"/>
          <w:sz w:val="22"/>
          <w:szCs w:val="22"/>
        </w:rPr>
        <w:t>, der die konkrete Vergütung enthält,</w:t>
      </w:r>
      <w:r>
        <w:rPr>
          <w:rFonts w:ascii="Arial" w:hAnsi="Arial" w:cs="Arial"/>
          <w:sz w:val="22"/>
          <w:szCs w:val="22"/>
        </w:rPr>
        <w:t xml:space="preserve"> der zuständigen Behörde bis spätestens zwei Monate nach Beginn des Ausbildungsjahres zu stellen. </w:t>
      </w:r>
    </w:p>
    <w:p w14:paraId="17C90113" w14:textId="2853DAFF" w:rsidR="00C7374A" w:rsidRDefault="00C01D61" w:rsidP="00C01D61">
      <w:pPr>
        <w:spacing w:line="360" w:lineRule="auto"/>
        <w:rPr>
          <w:rFonts w:ascii="Arial" w:hAnsi="Arial" w:cs="Arial"/>
          <w:sz w:val="22"/>
          <w:szCs w:val="22"/>
        </w:rPr>
      </w:pPr>
      <w:r>
        <w:rPr>
          <w:rFonts w:ascii="Arial" w:hAnsi="Arial" w:cs="Arial"/>
          <w:sz w:val="22"/>
          <w:szCs w:val="22"/>
        </w:rPr>
        <w:t>(2) Es werden monatliche Abschläge in Höhe der zu erwartenden Förderung gewährt. Die Abschläge werden in Raten gezahlt. Die erste Rate wird</w:t>
      </w:r>
      <w:r w:rsidR="00C7374A">
        <w:rPr>
          <w:rFonts w:ascii="Arial" w:hAnsi="Arial" w:cs="Arial"/>
          <w:sz w:val="22"/>
          <w:szCs w:val="22"/>
        </w:rPr>
        <w:t xml:space="preserve"> für die Monate August bis Dezember des Ausbildungsjahres</w:t>
      </w:r>
      <w:r>
        <w:rPr>
          <w:rFonts w:ascii="Arial" w:hAnsi="Arial" w:cs="Arial"/>
          <w:sz w:val="22"/>
          <w:szCs w:val="22"/>
        </w:rPr>
        <w:t xml:space="preserve"> ausgezahlt. Die </w:t>
      </w:r>
      <w:r w:rsidR="00AA6B15">
        <w:rPr>
          <w:rFonts w:ascii="Arial" w:hAnsi="Arial" w:cs="Arial"/>
          <w:sz w:val="22"/>
          <w:szCs w:val="22"/>
        </w:rPr>
        <w:t xml:space="preserve">Zahlung der </w:t>
      </w:r>
      <w:r>
        <w:rPr>
          <w:rFonts w:ascii="Arial" w:hAnsi="Arial" w:cs="Arial"/>
          <w:sz w:val="22"/>
          <w:szCs w:val="22"/>
        </w:rPr>
        <w:t>Restsumme erfolgt in einer zweiten Rate</w:t>
      </w:r>
      <w:r w:rsidR="00C7374A">
        <w:rPr>
          <w:rFonts w:ascii="Arial" w:hAnsi="Arial" w:cs="Arial"/>
          <w:sz w:val="22"/>
          <w:szCs w:val="22"/>
        </w:rPr>
        <w:t xml:space="preserve"> (Januar bis Juli des Ausbildungsjahre</w:t>
      </w:r>
      <w:r w:rsidR="000203D7">
        <w:rPr>
          <w:rFonts w:ascii="Arial" w:hAnsi="Arial" w:cs="Arial"/>
          <w:sz w:val="22"/>
          <w:szCs w:val="22"/>
        </w:rPr>
        <w:t>s</w:t>
      </w:r>
      <w:r w:rsidR="00C7374A">
        <w:rPr>
          <w:rFonts w:ascii="Arial" w:hAnsi="Arial" w:cs="Arial"/>
          <w:sz w:val="22"/>
          <w:szCs w:val="22"/>
        </w:rPr>
        <w:t>)</w:t>
      </w:r>
      <w:r w:rsidR="00A91AC8">
        <w:rPr>
          <w:rFonts w:ascii="Arial" w:hAnsi="Arial" w:cs="Arial"/>
          <w:sz w:val="22"/>
          <w:szCs w:val="22"/>
        </w:rPr>
        <w:t>.</w:t>
      </w:r>
    </w:p>
    <w:p w14:paraId="153AF54B" w14:textId="023C8E68" w:rsidR="00C01D61" w:rsidRDefault="00C01D61" w:rsidP="00C01D61">
      <w:pPr>
        <w:spacing w:line="360" w:lineRule="auto"/>
        <w:rPr>
          <w:rFonts w:ascii="Arial" w:hAnsi="Arial" w:cs="Arial"/>
          <w:sz w:val="22"/>
          <w:szCs w:val="22"/>
        </w:rPr>
      </w:pPr>
      <w:r>
        <w:rPr>
          <w:rFonts w:ascii="Arial" w:hAnsi="Arial" w:cs="Arial"/>
          <w:sz w:val="22"/>
          <w:szCs w:val="22"/>
        </w:rPr>
        <w:t>(3) Nach Ablauf des Ausbildungsjahres wird für die einzelnen Ausbildungsmonate der Erstattungsbetrag festgestellt. Hierfür hat der Antragsteller der zuständigen Behörde die erforderlichen Nachweise spätestens zwei Monate nach Ablauf des Ausbildungsjahres vorzulegen. Die Nachweisführung erfolgt</w:t>
      </w:r>
      <w:r w:rsidR="002C4DCC">
        <w:rPr>
          <w:rFonts w:ascii="Arial" w:hAnsi="Arial" w:cs="Arial"/>
          <w:sz w:val="22"/>
          <w:szCs w:val="22"/>
        </w:rPr>
        <w:t xml:space="preserve"> durch</w:t>
      </w:r>
      <w:r>
        <w:rPr>
          <w:rFonts w:ascii="Arial" w:hAnsi="Arial" w:cs="Arial"/>
          <w:sz w:val="22"/>
          <w:szCs w:val="22"/>
        </w:rPr>
        <w:t xml:space="preserve"> </w:t>
      </w:r>
      <w:r w:rsidR="002C4DCC">
        <w:rPr>
          <w:rFonts w:ascii="Arial" w:hAnsi="Arial" w:cs="Arial"/>
          <w:sz w:val="22"/>
          <w:szCs w:val="22"/>
        </w:rPr>
        <w:t xml:space="preserve">eine </w:t>
      </w:r>
      <w:r>
        <w:rPr>
          <w:rFonts w:ascii="Arial" w:hAnsi="Arial" w:cs="Arial"/>
          <w:sz w:val="22"/>
          <w:szCs w:val="22"/>
        </w:rPr>
        <w:t xml:space="preserve">rechtsverbindliche Bestätigung des Trägers über die tatsächlich aufgewendeten Kosten nach § 2 des </w:t>
      </w:r>
      <w:r w:rsidR="00C7374A">
        <w:rPr>
          <w:rFonts w:ascii="Arial" w:hAnsi="Arial" w:cs="Arial"/>
          <w:sz w:val="22"/>
          <w:szCs w:val="22"/>
        </w:rPr>
        <w:t>Pflegeausbildungsvergütungsgesetzes</w:t>
      </w:r>
      <w:r w:rsidR="00CD74DD">
        <w:rPr>
          <w:rFonts w:ascii="Arial" w:hAnsi="Arial" w:cs="Arial"/>
          <w:sz w:val="22"/>
          <w:szCs w:val="22"/>
        </w:rPr>
        <w:t xml:space="preserve"> (Rechnungslegung)</w:t>
      </w:r>
      <w:r w:rsidR="00AA6B15">
        <w:rPr>
          <w:rFonts w:ascii="Arial" w:hAnsi="Arial" w:cs="Arial"/>
          <w:sz w:val="22"/>
          <w:szCs w:val="22"/>
        </w:rPr>
        <w:t>.</w:t>
      </w:r>
      <w:r w:rsidR="00C7374A">
        <w:rPr>
          <w:rFonts w:ascii="Arial" w:hAnsi="Arial" w:cs="Arial"/>
          <w:sz w:val="22"/>
          <w:szCs w:val="22"/>
        </w:rPr>
        <w:t xml:space="preserve"> </w:t>
      </w:r>
    </w:p>
    <w:bookmarkEnd w:id="0"/>
    <w:p w14:paraId="11E10B5A" w14:textId="77777777" w:rsidR="00C01D61" w:rsidRDefault="00C01D61" w:rsidP="00C01D61">
      <w:pPr>
        <w:pStyle w:val="Listenabsatz"/>
        <w:spacing w:line="360" w:lineRule="auto"/>
        <w:ind w:left="360"/>
        <w:rPr>
          <w:rFonts w:ascii="Arial" w:hAnsi="Arial" w:cs="Arial"/>
          <w:sz w:val="22"/>
          <w:szCs w:val="22"/>
        </w:rPr>
      </w:pPr>
    </w:p>
    <w:p w14:paraId="017D2BA7" w14:textId="77777777" w:rsidR="00C01D61" w:rsidRDefault="00C01D61" w:rsidP="00C01D61">
      <w:pPr>
        <w:pStyle w:val="Listenabsatz"/>
        <w:spacing w:line="360" w:lineRule="auto"/>
        <w:ind w:left="360"/>
        <w:jc w:val="center"/>
        <w:rPr>
          <w:rFonts w:ascii="Arial" w:hAnsi="Arial" w:cs="Arial"/>
          <w:b/>
          <w:sz w:val="22"/>
          <w:szCs w:val="22"/>
        </w:rPr>
      </w:pPr>
      <w:r w:rsidRPr="00C01D61">
        <w:rPr>
          <w:rFonts w:ascii="Arial" w:hAnsi="Arial" w:cs="Arial"/>
          <w:b/>
          <w:sz w:val="22"/>
          <w:szCs w:val="22"/>
        </w:rPr>
        <w:t>§ 4 Inkrafttreten</w:t>
      </w:r>
    </w:p>
    <w:p w14:paraId="3A0062BC" w14:textId="77777777" w:rsidR="00C01D61" w:rsidRPr="00C01D61" w:rsidRDefault="00C01D61" w:rsidP="00C01D61">
      <w:pPr>
        <w:spacing w:line="360" w:lineRule="auto"/>
        <w:rPr>
          <w:rFonts w:ascii="Arial" w:hAnsi="Arial" w:cs="Arial"/>
          <w:sz w:val="22"/>
          <w:szCs w:val="22"/>
        </w:rPr>
      </w:pPr>
      <w:r w:rsidRPr="00C01D61">
        <w:rPr>
          <w:rFonts w:ascii="Arial" w:hAnsi="Arial" w:cs="Arial"/>
          <w:sz w:val="22"/>
          <w:szCs w:val="22"/>
        </w:rPr>
        <w:t xml:space="preserve">Die Verordnung tritt am [Datum einsetzen] in Kraft. </w:t>
      </w:r>
    </w:p>
    <w:p w14:paraId="1B32C77E" w14:textId="77777777" w:rsidR="00C7374A" w:rsidRDefault="00C7374A">
      <w:pPr>
        <w:spacing w:after="160" w:line="259" w:lineRule="auto"/>
        <w:rPr>
          <w:rFonts w:ascii="Arial" w:hAnsi="Arial" w:cs="Arial"/>
          <w:b/>
          <w:sz w:val="22"/>
          <w:szCs w:val="22"/>
        </w:rPr>
      </w:pPr>
      <w:r>
        <w:rPr>
          <w:rFonts w:ascii="Arial" w:hAnsi="Arial" w:cs="Arial"/>
          <w:b/>
          <w:sz w:val="22"/>
          <w:szCs w:val="22"/>
        </w:rPr>
        <w:lastRenderedPageBreak/>
        <w:t>Begründung:</w:t>
      </w:r>
    </w:p>
    <w:p w14:paraId="061BF16A" w14:textId="77777777" w:rsidR="00C7374A" w:rsidRDefault="00C7374A">
      <w:pPr>
        <w:spacing w:after="160" w:line="259" w:lineRule="auto"/>
        <w:rPr>
          <w:rFonts w:ascii="Arial" w:hAnsi="Arial" w:cs="Arial"/>
          <w:sz w:val="22"/>
          <w:szCs w:val="22"/>
        </w:rPr>
      </w:pPr>
      <w:r>
        <w:rPr>
          <w:rFonts w:ascii="Arial" w:hAnsi="Arial" w:cs="Arial"/>
          <w:sz w:val="22"/>
          <w:szCs w:val="22"/>
        </w:rPr>
        <w:t>Die Verordnung regelt das Bewilligungs-, Auszahlungs- und Abrechnungsverfahren.</w:t>
      </w:r>
    </w:p>
    <w:p w14:paraId="790916CE" w14:textId="77777777" w:rsidR="00C7374A" w:rsidRDefault="00C7374A">
      <w:pPr>
        <w:spacing w:after="160" w:line="259" w:lineRule="auto"/>
        <w:rPr>
          <w:rFonts w:ascii="Arial" w:hAnsi="Arial" w:cs="Arial"/>
          <w:b/>
          <w:sz w:val="22"/>
          <w:szCs w:val="22"/>
        </w:rPr>
      </w:pPr>
    </w:p>
    <w:p w14:paraId="6CBCD43B" w14:textId="77777777" w:rsidR="00C7374A" w:rsidRDefault="00C7374A">
      <w:pPr>
        <w:spacing w:after="160" w:line="259" w:lineRule="auto"/>
        <w:rPr>
          <w:rFonts w:ascii="Arial" w:hAnsi="Arial" w:cs="Arial"/>
          <w:b/>
          <w:sz w:val="22"/>
          <w:szCs w:val="22"/>
        </w:rPr>
      </w:pPr>
      <w:r>
        <w:rPr>
          <w:rFonts w:ascii="Arial" w:hAnsi="Arial" w:cs="Arial"/>
          <w:b/>
          <w:sz w:val="22"/>
          <w:szCs w:val="22"/>
        </w:rPr>
        <w:t>Im Einzelnen:</w:t>
      </w:r>
    </w:p>
    <w:p w14:paraId="2326D98A" w14:textId="77777777" w:rsidR="00C7374A" w:rsidRDefault="00C7374A">
      <w:pPr>
        <w:spacing w:after="160" w:line="259" w:lineRule="auto"/>
        <w:rPr>
          <w:rFonts w:ascii="Arial" w:hAnsi="Arial" w:cs="Arial"/>
          <w:b/>
          <w:sz w:val="22"/>
          <w:szCs w:val="22"/>
        </w:rPr>
      </w:pPr>
      <w:r>
        <w:rPr>
          <w:rFonts w:ascii="Arial" w:hAnsi="Arial" w:cs="Arial"/>
          <w:b/>
          <w:sz w:val="22"/>
          <w:szCs w:val="22"/>
        </w:rPr>
        <w:t>Zu § 1</w:t>
      </w:r>
    </w:p>
    <w:p w14:paraId="7033A30A" w14:textId="77777777" w:rsidR="00B85D46" w:rsidRDefault="00C7374A" w:rsidP="008D4E74">
      <w:pPr>
        <w:spacing w:after="160" w:line="360" w:lineRule="auto"/>
        <w:rPr>
          <w:rFonts w:ascii="Arial" w:hAnsi="Arial" w:cs="Arial"/>
          <w:sz w:val="22"/>
          <w:szCs w:val="22"/>
        </w:rPr>
      </w:pPr>
      <w:r w:rsidRPr="00C7374A">
        <w:rPr>
          <w:rFonts w:ascii="Arial" w:hAnsi="Arial" w:cs="Arial"/>
          <w:sz w:val="22"/>
          <w:szCs w:val="22"/>
        </w:rPr>
        <w:t>§ 1 regelt den Re</w:t>
      </w:r>
      <w:r w:rsidR="006C720F">
        <w:rPr>
          <w:rFonts w:ascii="Arial" w:hAnsi="Arial" w:cs="Arial"/>
          <w:sz w:val="22"/>
          <w:szCs w:val="22"/>
        </w:rPr>
        <w:t>ge</w:t>
      </w:r>
      <w:r w:rsidRPr="00C7374A">
        <w:rPr>
          <w:rFonts w:ascii="Arial" w:hAnsi="Arial" w:cs="Arial"/>
          <w:sz w:val="22"/>
          <w:szCs w:val="22"/>
        </w:rPr>
        <w:t>lungsgegenstand der Vero</w:t>
      </w:r>
      <w:r w:rsidR="006C720F">
        <w:rPr>
          <w:rFonts w:ascii="Arial" w:hAnsi="Arial" w:cs="Arial"/>
          <w:sz w:val="22"/>
          <w:szCs w:val="22"/>
        </w:rPr>
        <w:t>r</w:t>
      </w:r>
      <w:r w:rsidRPr="00C7374A">
        <w:rPr>
          <w:rFonts w:ascii="Arial" w:hAnsi="Arial" w:cs="Arial"/>
          <w:sz w:val="22"/>
          <w:szCs w:val="22"/>
        </w:rPr>
        <w:t xml:space="preserve">dnung und bezieht sich auf die </w:t>
      </w:r>
      <w:r w:rsidR="00B85D46" w:rsidRPr="00C7374A">
        <w:rPr>
          <w:rFonts w:ascii="Arial" w:hAnsi="Arial" w:cs="Arial"/>
          <w:sz w:val="22"/>
          <w:szCs w:val="22"/>
        </w:rPr>
        <w:t xml:space="preserve">Anspruchsregelung des Gesetzes. </w:t>
      </w:r>
    </w:p>
    <w:p w14:paraId="07E6DA0E" w14:textId="26A79775" w:rsidR="00B85D46" w:rsidRPr="00B85D46" w:rsidRDefault="00B85D46" w:rsidP="00B85D46">
      <w:pPr>
        <w:spacing w:after="160" w:line="259" w:lineRule="auto"/>
        <w:rPr>
          <w:rFonts w:ascii="Arial" w:hAnsi="Arial" w:cs="Arial"/>
          <w:sz w:val="22"/>
          <w:szCs w:val="22"/>
        </w:rPr>
      </w:pPr>
    </w:p>
    <w:p w14:paraId="1D6AA1CA" w14:textId="77777777" w:rsidR="00C7374A" w:rsidRDefault="00C7374A">
      <w:pPr>
        <w:spacing w:after="160" w:line="259" w:lineRule="auto"/>
        <w:rPr>
          <w:rFonts w:ascii="Arial" w:hAnsi="Arial" w:cs="Arial"/>
          <w:b/>
          <w:sz w:val="22"/>
          <w:szCs w:val="22"/>
        </w:rPr>
      </w:pPr>
      <w:r>
        <w:rPr>
          <w:rFonts w:ascii="Arial" w:hAnsi="Arial" w:cs="Arial"/>
          <w:b/>
          <w:sz w:val="22"/>
          <w:szCs w:val="22"/>
        </w:rPr>
        <w:t>Zu § 2</w:t>
      </w:r>
    </w:p>
    <w:p w14:paraId="1ECD8200" w14:textId="066A1BDB" w:rsidR="00C7374A" w:rsidRDefault="00C7374A" w:rsidP="008D4E74">
      <w:pPr>
        <w:spacing w:after="160" w:line="360" w:lineRule="auto"/>
        <w:rPr>
          <w:rFonts w:ascii="Arial" w:hAnsi="Arial" w:cs="Arial"/>
          <w:sz w:val="22"/>
          <w:szCs w:val="22"/>
        </w:rPr>
      </w:pPr>
      <w:r w:rsidRPr="00C7374A">
        <w:rPr>
          <w:rFonts w:ascii="Arial" w:hAnsi="Arial" w:cs="Arial"/>
          <w:sz w:val="22"/>
          <w:szCs w:val="22"/>
        </w:rPr>
        <w:t xml:space="preserve">§ 2 </w:t>
      </w:r>
      <w:r w:rsidR="006C720F">
        <w:rPr>
          <w:rFonts w:ascii="Arial" w:hAnsi="Arial" w:cs="Arial"/>
          <w:sz w:val="22"/>
          <w:szCs w:val="22"/>
        </w:rPr>
        <w:t>e</w:t>
      </w:r>
      <w:r w:rsidRPr="00C7374A">
        <w:rPr>
          <w:rFonts w:ascii="Arial" w:hAnsi="Arial" w:cs="Arial"/>
          <w:sz w:val="22"/>
          <w:szCs w:val="22"/>
        </w:rPr>
        <w:t>nthält eine Konkre</w:t>
      </w:r>
      <w:r w:rsidR="006C720F">
        <w:rPr>
          <w:rFonts w:ascii="Arial" w:hAnsi="Arial" w:cs="Arial"/>
          <w:sz w:val="22"/>
          <w:szCs w:val="22"/>
        </w:rPr>
        <w:t>t</w:t>
      </w:r>
      <w:r w:rsidRPr="00C7374A">
        <w:rPr>
          <w:rFonts w:ascii="Arial" w:hAnsi="Arial" w:cs="Arial"/>
          <w:sz w:val="22"/>
          <w:szCs w:val="22"/>
        </w:rPr>
        <w:t>i</w:t>
      </w:r>
      <w:r w:rsidR="006C720F">
        <w:rPr>
          <w:rFonts w:ascii="Arial" w:hAnsi="Arial" w:cs="Arial"/>
          <w:sz w:val="22"/>
          <w:szCs w:val="22"/>
        </w:rPr>
        <w:t>s</w:t>
      </w:r>
      <w:r w:rsidRPr="00C7374A">
        <w:rPr>
          <w:rFonts w:ascii="Arial" w:hAnsi="Arial" w:cs="Arial"/>
          <w:sz w:val="22"/>
          <w:szCs w:val="22"/>
        </w:rPr>
        <w:t>ierung zur Höhe des Anspruchs und die einzubezi</w:t>
      </w:r>
      <w:r w:rsidR="006C720F">
        <w:rPr>
          <w:rFonts w:ascii="Arial" w:hAnsi="Arial" w:cs="Arial"/>
          <w:sz w:val="22"/>
          <w:szCs w:val="22"/>
        </w:rPr>
        <w:t>e</w:t>
      </w:r>
      <w:r w:rsidRPr="00C7374A">
        <w:rPr>
          <w:rFonts w:ascii="Arial" w:hAnsi="Arial" w:cs="Arial"/>
          <w:sz w:val="22"/>
          <w:szCs w:val="22"/>
        </w:rPr>
        <w:t>henden Kostenanteile.</w:t>
      </w:r>
    </w:p>
    <w:p w14:paraId="72048C4B" w14:textId="77777777" w:rsidR="00B85D46" w:rsidRDefault="00B85D46" w:rsidP="008D4E74">
      <w:pPr>
        <w:spacing w:after="160" w:line="360" w:lineRule="auto"/>
        <w:rPr>
          <w:rFonts w:ascii="Arial" w:hAnsi="Arial" w:cs="Arial"/>
          <w:sz w:val="22"/>
          <w:szCs w:val="22"/>
        </w:rPr>
      </w:pPr>
      <w:r>
        <w:rPr>
          <w:rFonts w:ascii="Arial" w:hAnsi="Arial" w:cs="Arial"/>
          <w:sz w:val="22"/>
          <w:szCs w:val="22"/>
        </w:rPr>
        <w:t>Es handelt sich hierbei um folgende Kosten, die erstattet werden:</w:t>
      </w:r>
    </w:p>
    <w:p w14:paraId="338700CC" w14:textId="77777777" w:rsidR="00B85D46" w:rsidRPr="00B85D46" w:rsidRDefault="00B85D46" w:rsidP="008D4E74">
      <w:pPr>
        <w:pStyle w:val="Listenabsatz"/>
        <w:numPr>
          <w:ilvl w:val="0"/>
          <w:numId w:val="3"/>
        </w:numPr>
        <w:spacing w:after="160" w:line="360" w:lineRule="auto"/>
        <w:rPr>
          <w:rFonts w:ascii="Arial" w:hAnsi="Arial" w:cs="Arial"/>
          <w:sz w:val="22"/>
          <w:szCs w:val="22"/>
        </w:rPr>
      </w:pPr>
      <w:r w:rsidRPr="00B85D46">
        <w:rPr>
          <w:rFonts w:ascii="Arial" w:hAnsi="Arial" w:cs="Arial"/>
          <w:sz w:val="22"/>
          <w:szCs w:val="22"/>
        </w:rPr>
        <w:t>Bruttolohn- bzw. -gehalt</w:t>
      </w:r>
    </w:p>
    <w:p w14:paraId="5D366D25" w14:textId="77777777" w:rsidR="00B85D46" w:rsidRPr="00B85D46" w:rsidRDefault="00B85D46" w:rsidP="008D4E74">
      <w:pPr>
        <w:pStyle w:val="Listenabsatz"/>
        <w:numPr>
          <w:ilvl w:val="0"/>
          <w:numId w:val="3"/>
        </w:numPr>
        <w:spacing w:after="160" w:line="360" w:lineRule="auto"/>
        <w:rPr>
          <w:rFonts w:ascii="Arial" w:hAnsi="Arial" w:cs="Arial"/>
          <w:sz w:val="22"/>
          <w:szCs w:val="22"/>
        </w:rPr>
      </w:pPr>
      <w:r w:rsidRPr="00B85D46">
        <w:rPr>
          <w:rFonts w:ascii="Arial" w:hAnsi="Arial" w:cs="Arial"/>
          <w:sz w:val="22"/>
          <w:szCs w:val="22"/>
        </w:rPr>
        <w:t>Arbeitgeberanteil der Sozialabgaben  (Krankenversicherung, Pflegeversicherung, Arbeitslosenversicherung, Rentenversicherung, Unfallversicherung)</w:t>
      </w:r>
    </w:p>
    <w:p w14:paraId="40F85837" w14:textId="0B35ED7F" w:rsidR="00C11AF7" w:rsidRPr="00C11AF7" w:rsidRDefault="00C11AF7" w:rsidP="008D4E74">
      <w:pPr>
        <w:spacing w:after="160" w:line="360" w:lineRule="auto"/>
        <w:rPr>
          <w:rFonts w:ascii="Arial" w:hAnsi="Arial" w:cs="Arial"/>
          <w:sz w:val="22"/>
          <w:szCs w:val="22"/>
        </w:rPr>
      </w:pPr>
      <w:r w:rsidRPr="00C11AF7">
        <w:rPr>
          <w:rFonts w:ascii="Arial" w:hAnsi="Arial" w:cs="Arial"/>
          <w:sz w:val="22"/>
          <w:szCs w:val="22"/>
        </w:rPr>
        <w:t xml:space="preserve">Zu beachten ist, dass Kosten oder Kostenanteile, die durch Dritte übernommen werden, vom Zuschuss abzurechnen sind. Daher ist </w:t>
      </w:r>
      <w:r w:rsidR="008D4E74">
        <w:rPr>
          <w:rFonts w:ascii="Arial" w:hAnsi="Arial" w:cs="Arial"/>
          <w:sz w:val="22"/>
          <w:szCs w:val="22"/>
        </w:rPr>
        <w:t xml:space="preserve">es </w:t>
      </w:r>
      <w:r w:rsidRPr="00C11AF7">
        <w:rPr>
          <w:rFonts w:ascii="Arial" w:hAnsi="Arial" w:cs="Arial"/>
          <w:sz w:val="22"/>
          <w:szCs w:val="22"/>
        </w:rPr>
        <w:t>erforderlich, solche Kostenübernahmen</w:t>
      </w:r>
      <w:r w:rsidR="00902F1D">
        <w:rPr>
          <w:rFonts w:ascii="Arial" w:hAnsi="Arial" w:cs="Arial"/>
          <w:sz w:val="22"/>
          <w:szCs w:val="22"/>
        </w:rPr>
        <w:t xml:space="preserve"> -auch der Höhe nach -</w:t>
      </w:r>
      <w:r w:rsidRPr="00C11AF7">
        <w:rPr>
          <w:rFonts w:ascii="Arial" w:hAnsi="Arial" w:cs="Arial"/>
          <w:sz w:val="22"/>
          <w:szCs w:val="22"/>
        </w:rPr>
        <w:t xml:space="preserve"> im Antragsverfahren anzuzeigen. </w:t>
      </w:r>
    </w:p>
    <w:p w14:paraId="637523AE" w14:textId="77777777" w:rsidR="00B85D46" w:rsidRPr="00C7374A" w:rsidRDefault="00B85D46">
      <w:pPr>
        <w:spacing w:after="160" w:line="259" w:lineRule="auto"/>
        <w:rPr>
          <w:rFonts w:ascii="Arial" w:hAnsi="Arial" w:cs="Arial"/>
          <w:sz w:val="22"/>
          <w:szCs w:val="22"/>
        </w:rPr>
      </w:pPr>
    </w:p>
    <w:p w14:paraId="4D00F5A4" w14:textId="77777777" w:rsidR="00C7374A" w:rsidRDefault="00C7374A">
      <w:pPr>
        <w:spacing w:after="160" w:line="259" w:lineRule="auto"/>
        <w:rPr>
          <w:rFonts w:ascii="Arial" w:hAnsi="Arial" w:cs="Arial"/>
          <w:b/>
          <w:sz w:val="22"/>
          <w:szCs w:val="22"/>
        </w:rPr>
      </w:pPr>
      <w:r>
        <w:rPr>
          <w:rFonts w:ascii="Arial" w:hAnsi="Arial" w:cs="Arial"/>
          <w:b/>
          <w:sz w:val="22"/>
          <w:szCs w:val="22"/>
        </w:rPr>
        <w:t>Zu § 3</w:t>
      </w:r>
    </w:p>
    <w:p w14:paraId="38DC84E5" w14:textId="30DDB2F5" w:rsidR="00C7374A" w:rsidRDefault="00C7374A" w:rsidP="008D4E74">
      <w:pPr>
        <w:spacing w:after="160" w:line="360" w:lineRule="auto"/>
        <w:rPr>
          <w:rFonts w:ascii="Arial" w:hAnsi="Arial" w:cs="Arial"/>
          <w:sz w:val="22"/>
          <w:szCs w:val="22"/>
        </w:rPr>
      </w:pPr>
      <w:r w:rsidRPr="00C7374A">
        <w:rPr>
          <w:rFonts w:ascii="Arial" w:hAnsi="Arial" w:cs="Arial"/>
          <w:sz w:val="22"/>
          <w:szCs w:val="22"/>
        </w:rPr>
        <w:t>§ 3 regelt das Antragsverfahren und die Ratenzahlung sowie die Modalitäten der Schlussrechnung</w:t>
      </w:r>
      <w:r w:rsidR="00B85D46">
        <w:rPr>
          <w:rFonts w:ascii="Arial" w:hAnsi="Arial" w:cs="Arial"/>
          <w:sz w:val="22"/>
          <w:szCs w:val="22"/>
        </w:rPr>
        <w:t>.</w:t>
      </w:r>
    </w:p>
    <w:p w14:paraId="44271BAC" w14:textId="15EEEC32" w:rsidR="00B85D46" w:rsidRPr="00C11AF7" w:rsidRDefault="00C11AF7" w:rsidP="008D4E74">
      <w:pPr>
        <w:spacing w:after="160" w:line="360" w:lineRule="auto"/>
        <w:rPr>
          <w:rFonts w:ascii="Arial" w:hAnsi="Arial" w:cs="Arial"/>
          <w:sz w:val="22"/>
          <w:szCs w:val="22"/>
          <w:u w:val="single"/>
        </w:rPr>
      </w:pPr>
      <w:r w:rsidRPr="00C11AF7">
        <w:rPr>
          <w:rFonts w:ascii="Arial" w:hAnsi="Arial" w:cs="Arial"/>
          <w:sz w:val="22"/>
          <w:szCs w:val="22"/>
          <w:u w:val="single"/>
        </w:rPr>
        <w:t>Zu Abs. 1:</w:t>
      </w:r>
    </w:p>
    <w:p w14:paraId="09E7E6C0" w14:textId="1F3AFDC8" w:rsidR="00C11AF7" w:rsidRPr="008D4E74" w:rsidRDefault="00C11AF7" w:rsidP="008D4E74">
      <w:pPr>
        <w:spacing w:after="160" w:line="360" w:lineRule="auto"/>
        <w:rPr>
          <w:rFonts w:ascii="Arial" w:hAnsi="Arial" w:cs="Arial"/>
          <w:sz w:val="22"/>
          <w:szCs w:val="22"/>
        </w:rPr>
      </w:pPr>
      <w:r w:rsidRPr="008D4E74">
        <w:rPr>
          <w:rFonts w:ascii="Arial" w:hAnsi="Arial" w:cs="Arial"/>
          <w:sz w:val="22"/>
          <w:szCs w:val="22"/>
        </w:rPr>
        <w:t>In Absatz 1 wird festgelegt, dass die Investitionsban</w:t>
      </w:r>
      <w:r w:rsidR="008D4E74">
        <w:rPr>
          <w:rFonts w:ascii="Arial" w:hAnsi="Arial" w:cs="Arial"/>
          <w:sz w:val="22"/>
          <w:szCs w:val="22"/>
        </w:rPr>
        <w:t>k</w:t>
      </w:r>
      <w:r w:rsidRPr="008D4E74">
        <w:rPr>
          <w:rFonts w:ascii="Arial" w:hAnsi="Arial" w:cs="Arial"/>
          <w:sz w:val="22"/>
          <w:szCs w:val="22"/>
        </w:rPr>
        <w:t xml:space="preserve"> Sach</w:t>
      </w:r>
      <w:r w:rsidR="008D4E74" w:rsidRPr="008D4E74">
        <w:rPr>
          <w:rFonts w:ascii="Arial" w:hAnsi="Arial" w:cs="Arial"/>
          <w:sz w:val="22"/>
          <w:szCs w:val="22"/>
        </w:rPr>
        <w:t>s</w:t>
      </w:r>
      <w:r w:rsidRPr="008D4E74">
        <w:rPr>
          <w:rFonts w:ascii="Arial" w:hAnsi="Arial" w:cs="Arial"/>
          <w:sz w:val="22"/>
          <w:szCs w:val="22"/>
        </w:rPr>
        <w:t>en</w:t>
      </w:r>
      <w:r w:rsidR="008D4E74" w:rsidRPr="008D4E74">
        <w:rPr>
          <w:rFonts w:ascii="Arial" w:hAnsi="Arial" w:cs="Arial"/>
          <w:sz w:val="22"/>
          <w:szCs w:val="22"/>
        </w:rPr>
        <w:t>-Anhalt zuständige Behörde zur Gewährung de</w:t>
      </w:r>
      <w:r w:rsidR="008D4E74">
        <w:rPr>
          <w:rFonts w:ascii="Arial" w:hAnsi="Arial" w:cs="Arial"/>
          <w:sz w:val="22"/>
          <w:szCs w:val="22"/>
        </w:rPr>
        <w:t>r Erstattungsleistung i</w:t>
      </w:r>
      <w:r w:rsidR="008D4E74" w:rsidRPr="008D4E74">
        <w:rPr>
          <w:rFonts w:ascii="Arial" w:hAnsi="Arial" w:cs="Arial"/>
          <w:sz w:val="22"/>
          <w:szCs w:val="22"/>
        </w:rPr>
        <w:t xml:space="preserve">st. Sie wird das Antragsverfahren nach aktuellen Plänen durch ein Online-Verfahren absichern. </w:t>
      </w:r>
    </w:p>
    <w:p w14:paraId="44974094" w14:textId="5E99175D" w:rsidR="008D4E74" w:rsidRPr="008D4E74" w:rsidRDefault="008D4E74" w:rsidP="008D4E74">
      <w:pPr>
        <w:spacing w:after="160" w:line="360" w:lineRule="auto"/>
        <w:rPr>
          <w:rFonts w:ascii="Arial" w:hAnsi="Arial" w:cs="Arial"/>
          <w:sz w:val="22"/>
          <w:szCs w:val="22"/>
          <w:u w:val="single"/>
        </w:rPr>
      </w:pPr>
      <w:r w:rsidRPr="008D4E74">
        <w:rPr>
          <w:rFonts w:ascii="Arial" w:hAnsi="Arial" w:cs="Arial"/>
          <w:sz w:val="22"/>
          <w:szCs w:val="22"/>
          <w:u w:val="single"/>
        </w:rPr>
        <w:t>Zu Abs. 2:</w:t>
      </w:r>
    </w:p>
    <w:p w14:paraId="75D9F821" w14:textId="27092CDC" w:rsidR="00C11AF7" w:rsidRPr="008D4E74" w:rsidRDefault="008D4E74" w:rsidP="008D4E74">
      <w:pPr>
        <w:spacing w:after="160" w:line="360" w:lineRule="auto"/>
        <w:rPr>
          <w:rFonts w:ascii="Arial" w:hAnsi="Arial" w:cs="Arial"/>
          <w:sz w:val="22"/>
          <w:szCs w:val="22"/>
        </w:rPr>
      </w:pPr>
      <w:r w:rsidRPr="008D4E74">
        <w:rPr>
          <w:rFonts w:ascii="Arial" w:hAnsi="Arial" w:cs="Arial"/>
          <w:sz w:val="22"/>
          <w:szCs w:val="22"/>
        </w:rPr>
        <w:t xml:space="preserve">In Absatz 2 wird geregelt, dass zur Gewährung des Anspruchs monatliche Abschlagzahlungen zu zahlen sind. Die Wahl von Abschlägen auf die zu erwartende Förderung ist bewusst gewählt worden, da </w:t>
      </w:r>
      <w:r>
        <w:rPr>
          <w:rFonts w:ascii="Arial" w:hAnsi="Arial" w:cs="Arial"/>
          <w:sz w:val="22"/>
          <w:szCs w:val="22"/>
        </w:rPr>
        <w:t xml:space="preserve">z.B. </w:t>
      </w:r>
      <w:r w:rsidRPr="008D4E74">
        <w:rPr>
          <w:rFonts w:ascii="Arial" w:hAnsi="Arial" w:cs="Arial"/>
          <w:sz w:val="22"/>
          <w:szCs w:val="22"/>
        </w:rPr>
        <w:t xml:space="preserve">der </w:t>
      </w:r>
      <w:r w:rsidR="00C11AF7" w:rsidRPr="008D4E74">
        <w:rPr>
          <w:rFonts w:ascii="Arial" w:hAnsi="Arial" w:cs="Arial"/>
          <w:sz w:val="22"/>
          <w:szCs w:val="22"/>
        </w:rPr>
        <w:t>Krankenkassenbeitrag nicht einheitlich</w:t>
      </w:r>
      <w:r w:rsidRPr="008D4E74">
        <w:rPr>
          <w:rFonts w:ascii="Arial" w:hAnsi="Arial" w:cs="Arial"/>
          <w:sz w:val="22"/>
          <w:szCs w:val="22"/>
        </w:rPr>
        <w:t xml:space="preserve"> ist und bis zur Beantragung der Förderung noch </w:t>
      </w:r>
      <w:r>
        <w:rPr>
          <w:rFonts w:ascii="Arial" w:hAnsi="Arial" w:cs="Arial"/>
          <w:sz w:val="22"/>
          <w:szCs w:val="22"/>
        </w:rPr>
        <w:t>un</w:t>
      </w:r>
      <w:r w:rsidR="00C11AF7" w:rsidRPr="008D4E74">
        <w:rPr>
          <w:rFonts w:ascii="Arial" w:hAnsi="Arial" w:cs="Arial"/>
          <w:sz w:val="22"/>
          <w:szCs w:val="22"/>
        </w:rPr>
        <w:t>bekannt</w:t>
      </w:r>
      <w:r w:rsidRPr="008D4E74">
        <w:rPr>
          <w:rFonts w:ascii="Arial" w:hAnsi="Arial" w:cs="Arial"/>
          <w:sz w:val="22"/>
          <w:szCs w:val="22"/>
        </w:rPr>
        <w:t xml:space="preserve"> </w:t>
      </w:r>
      <w:r>
        <w:rPr>
          <w:rFonts w:ascii="Arial" w:hAnsi="Arial" w:cs="Arial"/>
          <w:sz w:val="22"/>
          <w:szCs w:val="22"/>
        </w:rPr>
        <w:t>sein könnte</w:t>
      </w:r>
      <w:r w:rsidR="00C11AF7" w:rsidRPr="008D4E74">
        <w:rPr>
          <w:rFonts w:ascii="Arial" w:hAnsi="Arial" w:cs="Arial"/>
          <w:sz w:val="22"/>
          <w:szCs w:val="22"/>
        </w:rPr>
        <w:t xml:space="preserve">. </w:t>
      </w:r>
      <w:r w:rsidRPr="008D4E74">
        <w:rPr>
          <w:rFonts w:ascii="Arial" w:hAnsi="Arial" w:cs="Arial"/>
          <w:sz w:val="22"/>
          <w:szCs w:val="22"/>
        </w:rPr>
        <w:t xml:space="preserve">Dies </w:t>
      </w:r>
      <w:r>
        <w:rPr>
          <w:rFonts w:ascii="Arial" w:hAnsi="Arial" w:cs="Arial"/>
          <w:sz w:val="22"/>
          <w:szCs w:val="22"/>
        </w:rPr>
        <w:t>trifft teilweise auch für die Beiträge zur B</w:t>
      </w:r>
      <w:r w:rsidRPr="008D4E74">
        <w:rPr>
          <w:rFonts w:ascii="Arial" w:hAnsi="Arial" w:cs="Arial"/>
          <w:sz w:val="22"/>
          <w:szCs w:val="22"/>
        </w:rPr>
        <w:t xml:space="preserve">erufsgenossenschaft </w:t>
      </w:r>
      <w:r>
        <w:rPr>
          <w:rFonts w:ascii="Arial" w:hAnsi="Arial" w:cs="Arial"/>
          <w:sz w:val="22"/>
          <w:szCs w:val="22"/>
        </w:rPr>
        <w:t>zu</w:t>
      </w:r>
      <w:r w:rsidRPr="008D4E74">
        <w:rPr>
          <w:rFonts w:ascii="Arial" w:hAnsi="Arial" w:cs="Arial"/>
          <w:sz w:val="22"/>
          <w:szCs w:val="22"/>
        </w:rPr>
        <w:t xml:space="preserve">. Für diese </w:t>
      </w:r>
      <w:r>
        <w:rPr>
          <w:rFonts w:ascii="Arial" w:hAnsi="Arial" w:cs="Arial"/>
          <w:sz w:val="22"/>
          <w:szCs w:val="22"/>
        </w:rPr>
        <w:t>F</w:t>
      </w:r>
      <w:r w:rsidRPr="008D4E74">
        <w:rPr>
          <w:rFonts w:ascii="Arial" w:hAnsi="Arial" w:cs="Arial"/>
          <w:sz w:val="22"/>
          <w:szCs w:val="22"/>
        </w:rPr>
        <w:t>älle kann bei</w:t>
      </w:r>
      <w:r>
        <w:rPr>
          <w:rFonts w:ascii="Arial" w:hAnsi="Arial" w:cs="Arial"/>
          <w:sz w:val="22"/>
          <w:szCs w:val="22"/>
        </w:rPr>
        <w:t xml:space="preserve"> </w:t>
      </w:r>
      <w:r w:rsidRPr="008D4E74">
        <w:rPr>
          <w:rFonts w:ascii="Arial" w:hAnsi="Arial" w:cs="Arial"/>
          <w:sz w:val="22"/>
          <w:szCs w:val="22"/>
        </w:rPr>
        <w:t xml:space="preserve">der </w:t>
      </w:r>
      <w:r>
        <w:rPr>
          <w:rFonts w:ascii="Arial" w:hAnsi="Arial" w:cs="Arial"/>
          <w:sz w:val="22"/>
          <w:szCs w:val="22"/>
        </w:rPr>
        <w:lastRenderedPageBreak/>
        <w:t>B</w:t>
      </w:r>
      <w:r w:rsidRPr="008D4E74">
        <w:rPr>
          <w:rFonts w:ascii="Arial" w:hAnsi="Arial" w:cs="Arial"/>
          <w:sz w:val="22"/>
          <w:szCs w:val="22"/>
        </w:rPr>
        <w:t>eantragung ein planer</w:t>
      </w:r>
      <w:r>
        <w:rPr>
          <w:rFonts w:ascii="Arial" w:hAnsi="Arial" w:cs="Arial"/>
          <w:sz w:val="22"/>
          <w:szCs w:val="22"/>
        </w:rPr>
        <w:t>i</w:t>
      </w:r>
      <w:r w:rsidRPr="008D4E74">
        <w:rPr>
          <w:rFonts w:ascii="Arial" w:hAnsi="Arial" w:cs="Arial"/>
          <w:sz w:val="22"/>
          <w:szCs w:val="22"/>
        </w:rPr>
        <w:t xml:space="preserve">scher Wert eingesetzt werden, z.B. </w:t>
      </w:r>
      <w:r w:rsidR="00C11AF7" w:rsidRPr="008D4E74">
        <w:rPr>
          <w:rFonts w:ascii="Arial" w:hAnsi="Arial" w:cs="Arial"/>
          <w:sz w:val="22"/>
          <w:szCs w:val="22"/>
        </w:rPr>
        <w:t xml:space="preserve">für </w:t>
      </w:r>
      <w:r w:rsidRPr="008D4E74">
        <w:rPr>
          <w:rFonts w:ascii="Arial" w:hAnsi="Arial" w:cs="Arial"/>
          <w:sz w:val="22"/>
          <w:szCs w:val="22"/>
        </w:rPr>
        <w:t xml:space="preserve">die </w:t>
      </w:r>
      <w:r w:rsidR="00C11AF7" w:rsidRPr="008D4E74">
        <w:rPr>
          <w:rFonts w:ascii="Arial" w:hAnsi="Arial" w:cs="Arial"/>
          <w:sz w:val="22"/>
          <w:szCs w:val="22"/>
        </w:rPr>
        <w:t xml:space="preserve">Unfallversicherung 1,1 % </w:t>
      </w:r>
      <w:r w:rsidRPr="008D4E74">
        <w:rPr>
          <w:rFonts w:ascii="Arial" w:hAnsi="Arial" w:cs="Arial"/>
          <w:sz w:val="22"/>
          <w:szCs w:val="22"/>
        </w:rPr>
        <w:t>und</w:t>
      </w:r>
      <w:r>
        <w:rPr>
          <w:rFonts w:ascii="Arial" w:hAnsi="Arial" w:cs="Arial"/>
          <w:sz w:val="22"/>
          <w:szCs w:val="22"/>
        </w:rPr>
        <w:t xml:space="preserve"> ein</w:t>
      </w:r>
      <w:r w:rsidRPr="008D4E74">
        <w:rPr>
          <w:rFonts w:ascii="Arial" w:hAnsi="Arial" w:cs="Arial"/>
          <w:sz w:val="22"/>
          <w:szCs w:val="22"/>
        </w:rPr>
        <w:t xml:space="preserve"> </w:t>
      </w:r>
      <w:r w:rsidR="00C11AF7" w:rsidRPr="008D4E74">
        <w:rPr>
          <w:rFonts w:ascii="Arial" w:hAnsi="Arial" w:cs="Arial"/>
          <w:sz w:val="22"/>
          <w:szCs w:val="22"/>
        </w:rPr>
        <w:t xml:space="preserve">Standarddurchschnittssatz </w:t>
      </w:r>
      <w:r w:rsidRPr="008D4E74">
        <w:rPr>
          <w:rFonts w:ascii="Arial" w:hAnsi="Arial" w:cs="Arial"/>
          <w:sz w:val="22"/>
          <w:szCs w:val="22"/>
        </w:rPr>
        <w:t xml:space="preserve">für die weiteren Versicherungen oder </w:t>
      </w:r>
      <w:r w:rsidR="00C11AF7" w:rsidRPr="008D4E74">
        <w:rPr>
          <w:rFonts w:ascii="Arial" w:hAnsi="Arial" w:cs="Arial"/>
          <w:sz w:val="22"/>
          <w:szCs w:val="22"/>
        </w:rPr>
        <w:t>pauschal 20% auf die Ausbildungsvergütung</w:t>
      </w:r>
      <w:r w:rsidR="00902F1D">
        <w:rPr>
          <w:rFonts w:ascii="Arial" w:hAnsi="Arial" w:cs="Arial"/>
          <w:sz w:val="22"/>
          <w:szCs w:val="22"/>
        </w:rPr>
        <w:t xml:space="preserve"> aufgeschlagen werden</w:t>
      </w:r>
      <w:r w:rsidRPr="008D4E74">
        <w:rPr>
          <w:rFonts w:ascii="Arial" w:hAnsi="Arial" w:cs="Arial"/>
          <w:sz w:val="22"/>
          <w:szCs w:val="22"/>
        </w:rPr>
        <w:t>. M</w:t>
      </w:r>
      <w:r w:rsidR="00C11AF7" w:rsidRPr="008D4E74">
        <w:rPr>
          <w:rFonts w:ascii="Arial" w:hAnsi="Arial" w:cs="Arial"/>
          <w:sz w:val="22"/>
          <w:szCs w:val="22"/>
        </w:rPr>
        <w:t xml:space="preserve">it Rechnungslegung sind die tatsächlichen Kosten </w:t>
      </w:r>
      <w:r w:rsidRPr="008D4E74">
        <w:rPr>
          <w:rFonts w:ascii="Arial" w:hAnsi="Arial" w:cs="Arial"/>
          <w:sz w:val="22"/>
          <w:szCs w:val="22"/>
        </w:rPr>
        <w:t xml:space="preserve">dann zu melden und zu </w:t>
      </w:r>
      <w:r w:rsidR="00C11AF7" w:rsidRPr="008D4E74">
        <w:rPr>
          <w:rFonts w:ascii="Arial" w:hAnsi="Arial" w:cs="Arial"/>
          <w:sz w:val="22"/>
          <w:szCs w:val="22"/>
        </w:rPr>
        <w:t xml:space="preserve">bestätigen, ein </w:t>
      </w:r>
      <w:proofErr w:type="spellStart"/>
      <w:r w:rsidR="00C11AF7" w:rsidRPr="008D4E74">
        <w:rPr>
          <w:rFonts w:ascii="Arial" w:hAnsi="Arial" w:cs="Arial"/>
          <w:sz w:val="22"/>
          <w:szCs w:val="22"/>
        </w:rPr>
        <w:t>beleghafter</w:t>
      </w:r>
      <w:proofErr w:type="spellEnd"/>
      <w:r w:rsidR="00C11AF7" w:rsidRPr="008D4E74">
        <w:rPr>
          <w:rFonts w:ascii="Arial" w:hAnsi="Arial" w:cs="Arial"/>
          <w:sz w:val="22"/>
          <w:szCs w:val="22"/>
        </w:rPr>
        <w:t xml:space="preserve"> Nachweis</w:t>
      </w:r>
      <w:r w:rsidRPr="008D4E74">
        <w:rPr>
          <w:rFonts w:ascii="Arial" w:hAnsi="Arial" w:cs="Arial"/>
          <w:sz w:val="22"/>
          <w:szCs w:val="22"/>
        </w:rPr>
        <w:t xml:space="preserve"> ist nicht geplant.</w:t>
      </w:r>
      <w:r w:rsidR="00902F1D">
        <w:rPr>
          <w:rFonts w:ascii="Arial" w:hAnsi="Arial" w:cs="Arial"/>
          <w:sz w:val="22"/>
          <w:szCs w:val="22"/>
        </w:rPr>
        <w:t xml:space="preserve"> </w:t>
      </w:r>
      <w:r w:rsidR="00CD74DD">
        <w:rPr>
          <w:rFonts w:ascii="Arial" w:hAnsi="Arial" w:cs="Arial"/>
          <w:sz w:val="22"/>
          <w:szCs w:val="22"/>
        </w:rPr>
        <w:t xml:space="preserve">Die Investitionsbank stellt dann die endgültige Höge des Zuschusses fest. Überzahlungen sind zurückzufordern bzw. können mit Folgeförderungen verrechnet werden. Waren die Kosten höher, als der gewährte Zuschuss, erfolgt eine Nachzahlung seitens der Investitionsbank. </w:t>
      </w:r>
      <w:bookmarkStart w:id="1" w:name="_GoBack"/>
      <w:bookmarkEnd w:id="1"/>
    </w:p>
    <w:p w14:paraId="3BCF25F4" w14:textId="10F3A3D4" w:rsidR="00B85D46" w:rsidRPr="00902F1D" w:rsidRDefault="00902F1D">
      <w:pPr>
        <w:spacing w:after="160" w:line="259" w:lineRule="auto"/>
        <w:rPr>
          <w:rFonts w:ascii="Arial" w:hAnsi="Arial" w:cs="Arial"/>
          <w:sz w:val="22"/>
          <w:szCs w:val="22"/>
          <w:u w:val="single"/>
        </w:rPr>
      </w:pPr>
      <w:r w:rsidRPr="00902F1D">
        <w:rPr>
          <w:rFonts w:ascii="Arial" w:hAnsi="Arial" w:cs="Arial"/>
          <w:sz w:val="22"/>
          <w:szCs w:val="22"/>
          <w:u w:val="single"/>
        </w:rPr>
        <w:t>Zu Abs. 3:</w:t>
      </w:r>
    </w:p>
    <w:p w14:paraId="31AD94EB" w14:textId="4C18EEE9" w:rsidR="00B85D46" w:rsidRPr="00902F1D" w:rsidRDefault="00902F1D" w:rsidP="00CD74DD">
      <w:pPr>
        <w:spacing w:after="160" w:line="360" w:lineRule="auto"/>
        <w:rPr>
          <w:rFonts w:ascii="Arial" w:hAnsi="Arial" w:cs="Arial"/>
          <w:sz w:val="22"/>
          <w:szCs w:val="22"/>
        </w:rPr>
      </w:pPr>
      <w:r w:rsidRPr="00902F1D">
        <w:rPr>
          <w:rFonts w:ascii="Arial" w:hAnsi="Arial" w:cs="Arial"/>
          <w:sz w:val="22"/>
          <w:szCs w:val="22"/>
        </w:rPr>
        <w:t xml:space="preserve">Absatz 3 regelt die Anzahl der Raten und die </w:t>
      </w:r>
      <w:r>
        <w:rPr>
          <w:rFonts w:ascii="Arial" w:hAnsi="Arial" w:cs="Arial"/>
          <w:sz w:val="22"/>
          <w:szCs w:val="22"/>
        </w:rPr>
        <w:t>R</w:t>
      </w:r>
      <w:r w:rsidRPr="00902F1D">
        <w:rPr>
          <w:rFonts w:ascii="Arial" w:hAnsi="Arial" w:cs="Arial"/>
          <w:sz w:val="22"/>
          <w:szCs w:val="22"/>
        </w:rPr>
        <w:t>echnungslegung. Zu beachte</w:t>
      </w:r>
      <w:r>
        <w:rPr>
          <w:rFonts w:ascii="Arial" w:hAnsi="Arial" w:cs="Arial"/>
          <w:sz w:val="22"/>
          <w:szCs w:val="22"/>
        </w:rPr>
        <w:t>n</w:t>
      </w:r>
      <w:r w:rsidRPr="00902F1D">
        <w:rPr>
          <w:rFonts w:ascii="Arial" w:hAnsi="Arial" w:cs="Arial"/>
          <w:sz w:val="22"/>
          <w:szCs w:val="22"/>
        </w:rPr>
        <w:t xml:space="preserve"> i</w:t>
      </w:r>
      <w:r>
        <w:rPr>
          <w:rFonts w:ascii="Arial" w:hAnsi="Arial" w:cs="Arial"/>
          <w:sz w:val="22"/>
          <w:szCs w:val="22"/>
        </w:rPr>
        <w:t>s</w:t>
      </w:r>
      <w:r w:rsidRPr="00902F1D">
        <w:rPr>
          <w:rFonts w:ascii="Arial" w:hAnsi="Arial" w:cs="Arial"/>
          <w:sz w:val="22"/>
          <w:szCs w:val="22"/>
        </w:rPr>
        <w:t xml:space="preserve">t, dass nur 2 </w:t>
      </w:r>
      <w:r>
        <w:rPr>
          <w:rFonts w:ascii="Arial" w:hAnsi="Arial" w:cs="Arial"/>
          <w:sz w:val="22"/>
          <w:szCs w:val="22"/>
        </w:rPr>
        <w:t>R</w:t>
      </w:r>
      <w:r w:rsidRPr="00902F1D">
        <w:rPr>
          <w:rFonts w:ascii="Arial" w:hAnsi="Arial" w:cs="Arial"/>
          <w:sz w:val="22"/>
          <w:szCs w:val="22"/>
        </w:rPr>
        <w:t xml:space="preserve">atenzahlungen geplant sind, deren Auszahlung zu Beginn des </w:t>
      </w:r>
      <w:r>
        <w:rPr>
          <w:rFonts w:ascii="Arial" w:hAnsi="Arial" w:cs="Arial"/>
          <w:sz w:val="22"/>
          <w:szCs w:val="22"/>
        </w:rPr>
        <w:t>Z</w:t>
      </w:r>
      <w:r w:rsidRPr="00902F1D">
        <w:rPr>
          <w:rFonts w:ascii="Arial" w:hAnsi="Arial" w:cs="Arial"/>
          <w:sz w:val="22"/>
          <w:szCs w:val="22"/>
        </w:rPr>
        <w:t xml:space="preserve">eitraumes erfolgen soll. Die erste </w:t>
      </w:r>
      <w:r>
        <w:rPr>
          <w:rFonts w:ascii="Arial" w:hAnsi="Arial" w:cs="Arial"/>
          <w:sz w:val="22"/>
          <w:szCs w:val="22"/>
        </w:rPr>
        <w:t>R</w:t>
      </w:r>
      <w:r w:rsidRPr="00902F1D">
        <w:rPr>
          <w:rFonts w:ascii="Arial" w:hAnsi="Arial" w:cs="Arial"/>
          <w:sz w:val="22"/>
          <w:szCs w:val="22"/>
        </w:rPr>
        <w:t xml:space="preserve">ate erfolgt nach </w:t>
      </w:r>
      <w:r w:rsidR="00B85D46" w:rsidRPr="00902F1D">
        <w:rPr>
          <w:rFonts w:ascii="Arial" w:hAnsi="Arial" w:cs="Arial"/>
          <w:sz w:val="22"/>
          <w:szCs w:val="22"/>
        </w:rPr>
        <w:t>Bestandskraft des Bewilligungsbescheides (</w:t>
      </w:r>
      <w:r w:rsidRPr="00902F1D">
        <w:rPr>
          <w:rFonts w:ascii="Arial" w:hAnsi="Arial" w:cs="Arial"/>
          <w:sz w:val="22"/>
          <w:szCs w:val="22"/>
        </w:rPr>
        <w:t>spätestens bis 2 M</w:t>
      </w:r>
      <w:r>
        <w:rPr>
          <w:rFonts w:ascii="Arial" w:hAnsi="Arial" w:cs="Arial"/>
          <w:sz w:val="22"/>
          <w:szCs w:val="22"/>
        </w:rPr>
        <w:t>o</w:t>
      </w:r>
      <w:r w:rsidRPr="00902F1D">
        <w:rPr>
          <w:rFonts w:ascii="Arial" w:hAnsi="Arial" w:cs="Arial"/>
          <w:sz w:val="22"/>
          <w:szCs w:val="22"/>
        </w:rPr>
        <w:t xml:space="preserve">nate nach Antragstellung) und die zweite Rate Anfang Januar des Ausbildungsjahres. </w:t>
      </w:r>
    </w:p>
    <w:p w14:paraId="7EE329BE" w14:textId="77777777" w:rsidR="00C7374A" w:rsidRDefault="00C7374A">
      <w:pPr>
        <w:spacing w:after="160" w:line="259" w:lineRule="auto"/>
        <w:rPr>
          <w:rFonts w:ascii="Arial" w:hAnsi="Arial" w:cs="Arial"/>
          <w:b/>
          <w:sz w:val="22"/>
          <w:szCs w:val="22"/>
        </w:rPr>
      </w:pPr>
      <w:r>
        <w:rPr>
          <w:rFonts w:ascii="Arial" w:hAnsi="Arial" w:cs="Arial"/>
          <w:b/>
          <w:sz w:val="22"/>
          <w:szCs w:val="22"/>
        </w:rPr>
        <w:t>Zu § 4</w:t>
      </w:r>
    </w:p>
    <w:p w14:paraId="6BC55515" w14:textId="77777777" w:rsidR="00C7374A" w:rsidRPr="00C7374A" w:rsidRDefault="00C7374A" w:rsidP="00902F1D">
      <w:pPr>
        <w:spacing w:after="160" w:line="360" w:lineRule="auto"/>
        <w:rPr>
          <w:rFonts w:ascii="Arial" w:hAnsi="Arial" w:cs="Arial"/>
          <w:sz w:val="22"/>
          <w:szCs w:val="22"/>
        </w:rPr>
      </w:pPr>
      <w:r w:rsidRPr="00C7374A">
        <w:rPr>
          <w:rFonts w:ascii="Arial" w:hAnsi="Arial" w:cs="Arial"/>
          <w:sz w:val="22"/>
          <w:szCs w:val="22"/>
        </w:rPr>
        <w:t>§ 4 regelt das Inkrafttreten. Nach Inkrafttreten</w:t>
      </w:r>
      <w:r w:rsidR="006C720F">
        <w:rPr>
          <w:rFonts w:ascii="Arial" w:hAnsi="Arial" w:cs="Arial"/>
          <w:sz w:val="22"/>
          <w:szCs w:val="22"/>
        </w:rPr>
        <w:t xml:space="preserve"> </w:t>
      </w:r>
      <w:r w:rsidRPr="00C7374A">
        <w:rPr>
          <w:rFonts w:ascii="Arial" w:hAnsi="Arial" w:cs="Arial"/>
          <w:sz w:val="22"/>
          <w:szCs w:val="22"/>
        </w:rPr>
        <w:t xml:space="preserve">des </w:t>
      </w:r>
      <w:r w:rsidR="006C720F">
        <w:rPr>
          <w:rFonts w:ascii="Arial" w:hAnsi="Arial" w:cs="Arial"/>
          <w:sz w:val="22"/>
          <w:szCs w:val="22"/>
        </w:rPr>
        <w:t>G</w:t>
      </w:r>
      <w:r w:rsidRPr="00C7374A">
        <w:rPr>
          <w:rFonts w:ascii="Arial" w:hAnsi="Arial" w:cs="Arial"/>
          <w:sz w:val="22"/>
          <w:szCs w:val="22"/>
        </w:rPr>
        <w:t>esetzes ist hier das Datum zum Inkrafttreten</w:t>
      </w:r>
      <w:r w:rsidR="006C720F">
        <w:rPr>
          <w:rFonts w:ascii="Arial" w:hAnsi="Arial" w:cs="Arial"/>
          <w:sz w:val="22"/>
          <w:szCs w:val="22"/>
        </w:rPr>
        <w:t xml:space="preserve"> </w:t>
      </w:r>
      <w:r w:rsidRPr="00C7374A">
        <w:rPr>
          <w:rFonts w:ascii="Arial" w:hAnsi="Arial" w:cs="Arial"/>
          <w:sz w:val="22"/>
          <w:szCs w:val="22"/>
        </w:rPr>
        <w:t>der Vero</w:t>
      </w:r>
      <w:r w:rsidR="006C720F">
        <w:rPr>
          <w:rFonts w:ascii="Arial" w:hAnsi="Arial" w:cs="Arial"/>
          <w:sz w:val="22"/>
          <w:szCs w:val="22"/>
        </w:rPr>
        <w:t>rd</w:t>
      </w:r>
      <w:r w:rsidRPr="00C7374A">
        <w:rPr>
          <w:rFonts w:ascii="Arial" w:hAnsi="Arial" w:cs="Arial"/>
          <w:sz w:val="22"/>
          <w:szCs w:val="22"/>
        </w:rPr>
        <w:t xml:space="preserve">nung (ein </w:t>
      </w:r>
      <w:r w:rsidR="006C720F">
        <w:rPr>
          <w:rFonts w:ascii="Arial" w:hAnsi="Arial" w:cs="Arial"/>
          <w:sz w:val="22"/>
          <w:szCs w:val="22"/>
        </w:rPr>
        <w:t>T</w:t>
      </w:r>
      <w:r w:rsidRPr="00C7374A">
        <w:rPr>
          <w:rFonts w:ascii="Arial" w:hAnsi="Arial" w:cs="Arial"/>
          <w:sz w:val="22"/>
          <w:szCs w:val="22"/>
        </w:rPr>
        <w:t xml:space="preserve">ag danach) einzusetzen.  </w:t>
      </w:r>
    </w:p>
    <w:p w14:paraId="0C5DF899" w14:textId="23DAB910" w:rsidR="00C01D61" w:rsidRDefault="00C01D61">
      <w:pPr>
        <w:spacing w:after="160" w:line="259" w:lineRule="auto"/>
        <w:rPr>
          <w:rFonts w:ascii="Arial" w:hAnsi="Arial" w:cs="Arial"/>
          <w:b/>
          <w:sz w:val="22"/>
          <w:szCs w:val="22"/>
        </w:rPr>
      </w:pPr>
    </w:p>
    <w:p w14:paraId="54D6CBEC" w14:textId="77777777" w:rsidR="00B85D46" w:rsidRDefault="00B85D46">
      <w:pPr>
        <w:spacing w:after="160" w:line="259" w:lineRule="auto"/>
        <w:rPr>
          <w:rFonts w:ascii="Arial" w:hAnsi="Arial" w:cs="Arial"/>
          <w:b/>
          <w:sz w:val="22"/>
          <w:szCs w:val="22"/>
        </w:rPr>
      </w:pPr>
    </w:p>
    <w:sectPr w:rsidR="00B85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B2605" w14:textId="77777777" w:rsidR="00C01D61" w:rsidRDefault="00C01D61" w:rsidP="00C01D61">
      <w:r>
        <w:separator/>
      </w:r>
    </w:p>
  </w:endnote>
  <w:endnote w:type="continuationSeparator" w:id="0">
    <w:p w14:paraId="3F53DDCE" w14:textId="77777777" w:rsidR="00C01D61" w:rsidRDefault="00C01D61" w:rsidP="00C0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E357" w14:textId="77777777" w:rsidR="00C01D61" w:rsidRDefault="00C01D61" w:rsidP="00C01D61">
      <w:r>
        <w:separator/>
      </w:r>
    </w:p>
  </w:footnote>
  <w:footnote w:type="continuationSeparator" w:id="0">
    <w:p w14:paraId="2EB4E0A5" w14:textId="77777777" w:rsidR="00C01D61" w:rsidRDefault="00C01D61" w:rsidP="00C0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262D"/>
    <w:multiLevelType w:val="hybridMultilevel"/>
    <w:tmpl w:val="D93ECC06"/>
    <w:lvl w:ilvl="0" w:tplc="04070015">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7D1619"/>
    <w:multiLevelType w:val="multilevel"/>
    <w:tmpl w:val="D0D2A5C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A5B2828"/>
    <w:multiLevelType w:val="hybridMultilevel"/>
    <w:tmpl w:val="BC8CEFDC"/>
    <w:lvl w:ilvl="0" w:tplc="2402B62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61"/>
    <w:rsid w:val="000203D7"/>
    <w:rsid w:val="000348E3"/>
    <w:rsid w:val="001C33BD"/>
    <w:rsid w:val="00274D48"/>
    <w:rsid w:val="002C4DCC"/>
    <w:rsid w:val="003B0EE9"/>
    <w:rsid w:val="003F7F5D"/>
    <w:rsid w:val="00447ABD"/>
    <w:rsid w:val="006279AA"/>
    <w:rsid w:val="006C720F"/>
    <w:rsid w:val="006D060E"/>
    <w:rsid w:val="006E6272"/>
    <w:rsid w:val="007324C7"/>
    <w:rsid w:val="00811AAE"/>
    <w:rsid w:val="0086080C"/>
    <w:rsid w:val="008D4E74"/>
    <w:rsid w:val="00902F1D"/>
    <w:rsid w:val="00A82F11"/>
    <w:rsid w:val="00A91AC8"/>
    <w:rsid w:val="00AA6B15"/>
    <w:rsid w:val="00B85D46"/>
    <w:rsid w:val="00C01D61"/>
    <w:rsid w:val="00C11AF7"/>
    <w:rsid w:val="00C22898"/>
    <w:rsid w:val="00C7374A"/>
    <w:rsid w:val="00C73B0E"/>
    <w:rsid w:val="00CC113F"/>
    <w:rsid w:val="00CD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AD0"/>
  <w15:chartTrackingRefBased/>
  <w15:docId w15:val="{10A226A2-4496-439B-A947-BA4AFCAA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1D6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1D61"/>
    <w:pPr>
      <w:ind w:left="708"/>
    </w:pPr>
    <w:rPr>
      <w:sz w:val="20"/>
      <w:szCs w:val="20"/>
    </w:rPr>
  </w:style>
  <w:style w:type="paragraph" w:styleId="Funotentext">
    <w:name w:val="footnote text"/>
    <w:basedOn w:val="Standard"/>
    <w:link w:val="FunotentextZchn"/>
    <w:semiHidden/>
    <w:unhideWhenUsed/>
    <w:rsid w:val="00C01D61"/>
    <w:rPr>
      <w:sz w:val="20"/>
      <w:szCs w:val="20"/>
    </w:rPr>
  </w:style>
  <w:style w:type="character" w:customStyle="1" w:styleId="FunotentextZchn">
    <w:name w:val="Fußnotentext Zchn"/>
    <w:basedOn w:val="Absatz-Standardschriftart"/>
    <w:link w:val="Funotentext"/>
    <w:semiHidden/>
    <w:rsid w:val="00C01D61"/>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C01D61"/>
    <w:rPr>
      <w:vertAlign w:val="superscript"/>
    </w:rPr>
  </w:style>
  <w:style w:type="character" w:styleId="Kommentarzeichen">
    <w:name w:val="annotation reference"/>
    <w:basedOn w:val="Absatz-Standardschriftart"/>
    <w:uiPriority w:val="99"/>
    <w:semiHidden/>
    <w:unhideWhenUsed/>
    <w:rsid w:val="000203D7"/>
    <w:rPr>
      <w:sz w:val="16"/>
      <w:szCs w:val="16"/>
    </w:rPr>
  </w:style>
  <w:style w:type="paragraph" w:styleId="Kommentartext">
    <w:name w:val="annotation text"/>
    <w:basedOn w:val="Standard"/>
    <w:link w:val="KommentartextZchn"/>
    <w:uiPriority w:val="99"/>
    <w:semiHidden/>
    <w:unhideWhenUsed/>
    <w:rsid w:val="000203D7"/>
    <w:rPr>
      <w:sz w:val="20"/>
      <w:szCs w:val="20"/>
    </w:rPr>
  </w:style>
  <w:style w:type="character" w:customStyle="1" w:styleId="KommentartextZchn">
    <w:name w:val="Kommentartext Zchn"/>
    <w:basedOn w:val="Absatz-Standardschriftart"/>
    <w:link w:val="Kommentartext"/>
    <w:uiPriority w:val="99"/>
    <w:semiHidden/>
    <w:rsid w:val="000203D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03D7"/>
    <w:rPr>
      <w:b/>
      <w:bCs/>
    </w:rPr>
  </w:style>
  <w:style w:type="character" w:customStyle="1" w:styleId="KommentarthemaZchn">
    <w:name w:val="Kommentarthema Zchn"/>
    <w:basedOn w:val="KommentartextZchn"/>
    <w:link w:val="Kommentarthema"/>
    <w:uiPriority w:val="99"/>
    <w:semiHidden/>
    <w:rsid w:val="000203D7"/>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203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03D7"/>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B85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Manuela</dc:creator>
  <cp:keywords/>
  <dc:description/>
  <cp:lastModifiedBy>Eggert, Manuela</cp:lastModifiedBy>
  <cp:revision>2</cp:revision>
  <dcterms:created xsi:type="dcterms:W3CDTF">2023-05-26T12:27:00Z</dcterms:created>
  <dcterms:modified xsi:type="dcterms:W3CDTF">2023-05-26T12:27:00Z</dcterms:modified>
</cp:coreProperties>
</file>